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86" w:rsidRPr="00171A76" w:rsidRDefault="005C2E11" w:rsidP="005C2E11">
      <w:pPr>
        <w:spacing w:after="0" w:line="240" w:lineRule="auto"/>
        <w:jc w:val="right"/>
        <w:rPr>
          <w:rFonts w:ascii="Syntax" w:hAnsi="Syntax"/>
          <w:b/>
          <w:u w:val="single"/>
        </w:rPr>
      </w:pPr>
      <w:r w:rsidRPr="00171A76">
        <w:rPr>
          <w:rFonts w:ascii="Syntax" w:hAnsi="Syntax"/>
          <w:b/>
          <w:noProof/>
          <w:lang w:eastAsia="en-GB"/>
        </w:rPr>
        <w:drawing>
          <wp:inline distT="0" distB="0" distL="0" distR="0" wp14:anchorId="4597E7A0" wp14:editId="6F9DBA77">
            <wp:extent cx="3581400" cy="1192087"/>
            <wp:effectExtent l="0" t="0" r="0" b="8255"/>
            <wp:docPr id="2" name="Picture 2" descr="G:\Eccles Centre\LOGOS\Eccles official logos\Eccles_British_Library_Logos_Lockup Aqua SPOT_P1797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ccles Centre\LOGOS\Eccles official logos\Eccles_British_Library_Logos_Lockup Aqua SPOT_P1797CV.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2842" cy="1195896"/>
                    </a:xfrm>
                    <a:prstGeom prst="rect">
                      <a:avLst/>
                    </a:prstGeom>
                    <a:noFill/>
                    <a:ln>
                      <a:noFill/>
                    </a:ln>
                  </pic:spPr>
                </pic:pic>
              </a:graphicData>
            </a:graphic>
          </wp:inline>
        </w:drawing>
      </w:r>
    </w:p>
    <w:p w:rsidR="00A84D86" w:rsidRPr="00171A76" w:rsidRDefault="00A84D86" w:rsidP="004044F6">
      <w:pPr>
        <w:spacing w:after="0" w:line="240" w:lineRule="auto"/>
        <w:rPr>
          <w:rFonts w:ascii="Syntax" w:hAnsi="Syntax"/>
          <w:b/>
          <w:u w:val="single"/>
        </w:rPr>
      </w:pPr>
    </w:p>
    <w:p w:rsidR="00512520" w:rsidRPr="00171A76" w:rsidRDefault="00512520" w:rsidP="004044F6">
      <w:pPr>
        <w:spacing w:after="0" w:line="240" w:lineRule="auto"/>
        <w:rPr>
          <w:rFonts w:ascii="Syntax" w:hAnsi="Syntax"/>
          <w:b/>
          <w:u w:val="single"/>
        </w:rPr>
      </w:pPr>
    </w:p>
    <w:p w:rsidR="00512520" w:rsidRPr="00171A76" w:rsidRDefault="00512520" w:rsidP="004044F6">
      <w:pPr>
        <w:spacing w:after="0" w:line="240" w:lineRule="auto"/>
        <w:rPr>
          <w:rFonts w:ascii="Syntax" w:hAnsi="Syntax"/>
          <w:b/>
          <w:u w:val="single"/>
        </w:rPr>
      </w:pPr>
    </w:p>
    <w:p w:rsidR="00512520" w:rsidRPr="00171A76" w:rsidRDefault="00512520" w:rsidP="004044F6">
      <w:pPr>
        <w:spacing w:after="0" w:line="240" w:lineRule="auto"/>
        <w:rPr>
          <w:rFonts w:ascii="Syntax" w:hAnsi="Syntax"/>
          <w:b/>
          <w:u w:val="single"/>
        </w:rPr>
      </w:pPr>
    </w:p>
    <w:p w:rsidR="00512520" w:rsidRPr="00171A76" w:rsidRDefault="00512520" w:rsidP="004044F6">
      <w:pPr>
        <w:spacing w:after="0" w:line="240" w:lineRule="auto"/>
        <w:rPr>
          <w:rFonts w:ascii="Syntax" w:hAnsi="Syntax"/>
          <w:b/>
          <w:u w:val="single"/>
        </w:rPr>
      </w:pPr>
    </w:p>
    <w:p w:rsidR="00512520" w:rsidRPr="00171A76" w:rsidRDefault="00512520" w:rsidP="004044F6">
      <w:pPr>
        <w:spacing w:after="0" w:line="240" w:lineRule="auto"/>
        <w:rPr>
          <w:rFonts w:ascii="Syntax" w:hAnsi="Syntax"/>
          <w:b/>
          <w:u w:val="single"/>
        </w:rPr>
      </w:pPr>
    </w:p>
    <w:p w:rsidR="0035613C" w:rsidRPr="00171A76" w:rsidRDefault="0023097F" w:rsidP="0035613C">
      <w:pPr>
        <w:spacing w:after="0" w:line="240" w:lineRule="auto"/>
        <w:rPr>
          <w:rFonts w:ascii="Syntax" w:hAnsi="Syntax"/>
          <w:b/>
          <w:sz w:val="24"/>
          <w:u w:val="single"/>
        </w:rPr>
      </w:pPr>
      <w:r w:rsidRPr="00171A76">
        <w:rPr>
          <w:rFonts w:ascii="Syntax" w:hAnsi="Syntax"/>
          <w:b/>
          <w:sz w:val="24"/>
          <w:u w:val="single"/>
        </w:rPr>
        <w:t>General T</w:t>
      </w:r>
      <w:r w:rsidR="0035613C" w:rsidRPr="00171A76">
        <w:rPr>
          <w:rFonts w:ascii="Syntax" w:hAnsi="Syntax"/>
          <w:b/>
          <w:sz w:val="24"/>
          <w:u w:val="single"/>
        </w:rPr>
        <w:t xml:space="preserve">erms and </w:t>
      </w:r>
      <w:r w:rsidRPr="00171A76">
        <w:rPr>
          <w:rFonts w:ascii="Syntax" w:hAnsi="Syntax"/>
          <w:b/>
          <w:sz w:val="24"/>
          <w:u w:val="single"/>
        </w:rPr>
        <w:t>C</w:t>
      </w:r>
      <w:r w:rsidR="0035613C" w:rsidRPr="00171A76">
        <w:rPr>
          <w:rFonts w:ascii="Syntax" w:hAnsi="Syntax"/>
          <w:b/>
          <w:sz w:val="24"/>
          <w:u w:val="single"/>
        </w:rPr>
        <w:t>onditions</w:t>
      </w:r>
      <w:r w:rsidRPr="00171A76">
        <w:rPr>
          <w:rFonts w:ascii="Syntax" w:hAnsi="Syntax"/>
          <w:b/>
          <w:sz w:val="24"/>
          <w:u w:val="single"/>
        </w:rPr>
        <w:t xml:space="preserve"> of the Ec</w:t>
      </w:r>
      <w:r w:rsidR="003613FF">
        <w:rPr>
          <w:rFonts w:ascii="Syntax" w:hAnsi="Syntax"/>
          <w:b/>
          <w:sz w:val="24"/>
          <w:u w:val="single"/>
        </w:rPr>
        <w:t>cles Centre Visiting Fellowship</w:t>
      </w:r>
      <w:r w:rsidRPr="00171A76">
        <w:rPr>
          <w:rFonts w:ascii="Syntax" w:hAnsi="Syntax"/>
          <w:b/>
          <w:sz w:val="24"/>
          <w:u w:val="single"/>
        </w:rPr>
        <w:t xml:space="preserve"> </w:t>
      </w:r>
      <w:r w:rsidR="003613FF">
        <w:rPr>
          <w:rFonts w:ascii="Syntax" w:hAnsi="Syntax"/>
          <w:b/>
          <w:sz w:val="24"/>
          <w:u w:val="single"/>
        </w:rPr>
        <w:t>2021</w:t>
      </w:r>
    </w:p>
    <w:p w:rsidR="0035613C" w:rsidRPr="00171A76" w:rsidRDefault="0035613C" w:rsidP="0035613C">
      <w:pPr>
        <w:spacing w:after="0" w:line="240" w:lineRule="auto"/>
        <w:rPr>
          <w:rFonts w:ascii="Syntax" w:hAnsi="Syntax"/>
        </w:rPr>
      </w:pPr>
    </w:p>
    <w:p w:rsidR="002C6DCB" w:rsidRPr="00171A76" w:rsidRDefault="0035613C" w:rsidP="0035613C">
      <w:pPr>
        <w:spacing w:after="0" w:line="240" w:lineRule="auto"/>
        <w:rPr>
          <w:rFonts w:ascii="Syntax" w:hAnsi="Syntax"/>
        </w:rPr>
      </w:pPr>
      <w:r w:rsidRPr="00171A76">
        <w:rPr>
          <w:rFonts w:ascii="Syntax" w:hAnsi="Syntax"/>
        </w:rPr>
        <w:t xml:space="preserve">All award holders will </w:t>
      </w:r>
      <w:r w:rsidR="002C6DCB" w:rsidRPr="00171A76">
        <w:rPr>
          <w:rFonts w:ascii="Syntax" w:hAnsi="Syntax"/>
        </w:rPr>
        <w:t>receive 75 per cent of their award in advance of their research trip(s), and the final 25 per cent on completion of a written report</w:t>
      </w:r>
      <w:r w:rsidR="00B73583" w:rsidRPr="00171A76">
        <w:rPr>
          <w:rFonts w:ascii="Syntax" w:hAnsi="Syntax"/>
        </w:rPr>
        <w:t xml:space="preserve"> and a post for the British Library Americas blog</w:t>
      </w:r>
      <w:r w:rsidR="005C2E11" w:rsidRPr="00171A76">
        <w:rPr>
          <w:rFonts w:ascii="Syntax" w:hAnsi="Syntax"/>
        </w:rPr>
        <w:t xml:space="preserve"> (</w:t>
      </w:r>
      <w:hyperlink r:id="rId6" w:history="1">
        <w:r w:rsidR="005C2E11" w:rsidRPr="00171A76">
          <w:rPr>
            <w:rStyle w:val="Hyperlink"/>
            <w:rFonts w:ascii="Syntax" w:hAnsi="Syntax"/>
          </w:rPr>
          <w:t>https://blogs.bl.uk/americas/</w:t>
        </w:r>
      </w:hyperlink>
      <w:r w:rsidR="005C2E11" w:rsidRPr="00171A76">
        <w:rPr>
          <w:rFonts w:ascii="Syntax" w:hAnsi="Syntax"/>
        </w:rPr>
        <w:t>)</w:t>
      </w:r>
      <w:r w:rsidR="002C6DCB" w:rsidRPr="00171A76">
        <w:rPr>
          <w:rFonts w:ascii="Syntax" w:hAnsi="Syntax"/>
        </w:rPr>
        <w:t>.</w:t>
      </w:r>
    </w:p>
    <w:p w:rsidR="0035613C" w:rsidRDefault="0035613C" w:rsidP="0035613C">
      <w:pPr>
        <w:spacing w:after="0" w:line="240" w:lineRule="auto"/>
        <w:rPr>
          <w:rFonts w:ascii="Syntax" w:hAnsi="Syntax"/>
        </w:rPr>
      </w:pPr>
    </w:p>
    <w:p w:rsidR="003613FF" w:rsidRDefault="003613FF" w:rsidP="0035613C">
      <w:pPr>
        <w:spacing w:after="0" w:line="240" w:lineRule="auto"/>
        <w:rPr>
          <w:rFonts w:ascii="Syntax" w:hAnsi="Syntax"/>
        </w:rPr>
      </w:pPr>
      <w:r>
        <w:rPr>
          <w:rFonts w:ascii="Syntax" w:hAnsi="Syntax"/>
        </w:rPr>
        <w:t xml:space="preserve">Fellowships </w:t>
      </w:r>
      <w:proofErr w:type="gramStart"/>
      <w:r>
        <w:rPr>
          <w:rFonts w:ascii="Syntax" w:hAnsi="Syntax"/>
        </w:rPr>
        <w:t>may be taken up</w:t>
      </w:r>
      <w:proofErr w:type="gramEnd"/>
      <w:r>
        <w:rPr>
          <w:rFonts w:ascii="Syntax" w:hAnsi="Syntax"/>
        </w:rPr>
        <w:t xml:space="preserve"> at any point after 1 </w:t>
      </w:r>
      <w:r w:rsidR="00664877">
        <w:rPr>
          <w:rFonts w:ascii="Syntax" w:hAnsi="Syntax"/>
        </w:rPr>
        <w:t>May</w:t>
      </w:r>
      <w:r>
        <w:rPr>
          <w:rFonts w:ascii="Syntax" w:hAnsi="Syntax"/>
        </w:rPr>
        <w:t xml:space="preserve"> 2021 and must be completed by </w:t>
      </w:r>
      <w:r w:rsidR="00664877">
        <w:rPr>
          <w:rFonts w:ascii="Syntax" w:hAnsi="Syntax"/>
        </w:rPr>
        <w:t xml:space="preserve">30 April </w:t>
      </w:r>
      <w:r>
        <w:rPr>
          <w:rFonts w:ascii="Syntax" w:hAnsi="Syntax"/>
        </w:rPr>
        <w:t>2024.</w:t>
      </w:r>
    </w:p>
    <w:p w:rsidR="003613FF" w:rsidRDefault="003613FF" w:rsidP="0035613C">
      <w:pPr>
        <w:spacing w:after="0" w:line="240" w:lineRule="auto"/>
        <w:rPr>
          <w:rFonts w:ascii="Syntax" w:hAnsi="Syntax"/>
        </w:rPr>
      </w:pPr>
    </w:p>
    <w:p w:rsidR="003613FF" w:rsidRDefault="003613FF" w:rsidP="0035613C">
      <w:pPr>
        <w:spacing w:after="0" w:line="240" w:lineRule="auto"/>
        <w:rPr>
          <w:rFonts w:ascii="Syntax" w:hAnsi="Syntax"/>
        </w:rPr>
      </w:pPr>
      <w:r>
        <w:rPr>
          <w:rFonts w:ascii="Syntax" w:hAnsi="Syntax"/>
        </w:rPr>
        <w:t>Fellows are entitled to the following stipends:</w:t>
      </w:r>
    </w:p>
    <w:p w:rsidR="003613FF" w:rsidRDefault="003613FF" w:rsidP="003613FF">
      <w:pPr>
        <w:pStyle w:val="ListParagraph"/>
        <w:numPr>
          <w:ilvl w:val="0"/>
          <w:numId w:val="10"/>
        </w:numPr>
        <w:spacing w:after="0" w:line="240" w:lineRule="auto"/>
        <w:rPr>
          <w:rFonts w:ascii="Syntax" w:hAnsi="Syntax"/>
        </w:rPr>
      </w:pPr>
      <w:r>
        <w:rPr>
          <w:rFonts w:ascii="Syntax" w:hAnsi="Syntax"/>
        </w:rPr>
        <w:t>Researchers based within the M25:</w:t>
      </w:r>
      <w:r>
        <w:rPr>
          <w:rFonts w:ascii="Syntax" w:hAnsi="Syntax"/>
        </w:rPr>
        <w:tab/>
      </w:r>
    </w:p>
    <w:p w:rsidR="003613FF" w:rsidRPr="003613FF" w:rsidRDefault="003613FF" w:rsidP="003613FF">
      <w:pPr>
        <w:spacing w:after="0" w:line="240" w:lineRule="auto"/>
        <w:ind w:firstLine="720"/>
        <w:rPr>
          <w:rFonts w:ascii="Syntax" w:hAnsi="Syntax"/>
        </w:rPr>
      </w:pPr>
      <w:r w:rsidRPr="003613FF">
        <w:rPr>
          <w:rFonts w:ascii="Syntax" w:hAnsi="Syntax"/>
        </w:rPr>
        <w:t>£600</w:t>
      </w:r>
      <w:r w:rsidRPr="003613FF">
        <w:rPr>
          <w:rFonts w:ascii="Syntax" w:hAnsi="Syntax"/>
        </w:rPr>
        <w:tab/>
        <w:t>(£450 up front, £150 on completion of the Fellowship)</w:t>
      </w:r>
    </w:p>
    <w:p w:rsidR="003613FF" w:rsidRDefault="003613FF" w:rsidP="003613FF">
      <w:pPr>
        <w:pStyle w:val="ListParagraph"/>
        <w:spacing w:after="0" w:line="240" w:lineRule="auto"/>
        <w:ind w:firstLine="720"/>
        <w:rPr>
          <w:rFonts w:ascii="Syntax" w:hAnsi="Syntax"/>
        </w:rPr>
      </w:pPr>
    </w:p>
    <w:p w:rsidR="003613FF" w:rsidRDefault="003613FF" w:rsidP="003613FF">
      <w:pPr>
        <w:pStyle w:val="ListParagraph"/>
        <w:numPr>
          <w:ilvl w:val="0"/>
          <w:numId w:val="10"/>
        </w:numPr>
        <w:spacing w:after="0" w:line="240" w:lineRule="auto"/>
        <w:rPr>
          <w:rFonts w:ascii="Syntax" w:hAnsi="Syntax"/>
        </w:rPr>
      </w:pPr>
      <w:r>
        <w:rPr>
          <w:rFonts w:ascii="Syntax" w:hAnsi="Syntax"/>
        </w:rPr>
        <w:t>Researchers based in the UK outside the M25</w:t>
      </w:r>
    </w:p>
    <w:p w:rsidR="003613FF" w:rsidRDefault="003613FF" w:rsidP="003613FF">
      <w:pPr>
        <w:pStyle w:val="ListParagraph"/>
        <w:spacing w:after="0" w:line="240" w:lineRule="auto"/>
        <w:rPr>
          <w:rFonts w:ascii="Syntax" w:hAnsi="Syntax"/>
        </w:rPr>
      </w:pPr>
      <w:r>
        <w:rPr>
          <w:rFonts w:ascii="Syntax" w:hAnsi="Syntax"/>
        </w:rPr>
        <w:t>£2000</w:t>
      </w:r>
      <w:r>
        <w:rPr>
          <w:rFonts w:ascii="Syntax" w:hAnsi="Syntax"/>
        </w:rPr>
        <w:tab/>
        <w:t>(£1500 up front, £500 on completion of the Fellowship)</w:t>
      </w:r>
    </w:p>
    <w:p w:rsidR="003613FF" w:rsidRDefault="003613FF" w:rsidP="003613FF">
      <w:pPr>
        <w:spacing w:after="0" w:line="240" w:lineRule="auto"/>
        <w:rPr>
          <w:rFonts w:ascii="Syntax" w:hAnsi="Syntax"/>
        </w:rPr>
      </w:pPr>
    </w:p>
    <w:p w:rsidR="003613FF" w:rsidRDefault="003613FF" w:rsidP="003613FF">
      <w:pPr>
        <w:pStyle w:val="ListParagraph"/>
        <w:numPr>
          <w:ilvl w:val="0"/>
          <w:numId w:val="10"/>
        </w:numPr>
        <w:spacing w:after="0" w:line="240" w:lineRule="auto"/>
        <w:rPr>
          <w:rFonts w:ascii="Syntax" w:hAnsi="Syntax"/>
        </w:rPr>
      </w:pPr>
      <w:r>
        <w:rPr>
          <w:rFonts w:ascii="Syntax" w:hAnsi="Syntax"/>
        </w:rPr>
        <w:t>Researchers based in Europe*</w:t>
      </w:r>
    </w:p>
    <w:p w:rsidR="003613FF" w:rsidRDefault="003613FF" w:rsidP="003613FF">
      <w:pPr>
        <w:pStyle w:val="ListParagraph"/>
        <w:spacing w:after="0" w:line="240" w:lineRule="auto"/>
        <w:rPr>
          <w:rFonts w:ascii="Syntax" w:hAnsi="Syntax"/>
        </w:rPr>
      </w:pPr>
      <w:r>
        <w:rPr>
          <w:rFonts w:ascii="Syntax" w:hAnsi="Syntax"/>
        </w:rPr>
        <w:t>£2250 (£1687.50 up front, £562.50 on completion of the Fellowship)</w:t>
      </w:r>
    </w:p>
    <w:p w:rsidR="003613FF" w:rsidRDefault="003613FF" w:rsidP="003613FF">
      <w:pPr>
        <w:spacing w:after="0" w:line="240" w:lineRule="auto"/>
        <w:rPr>
          <w:rFonts w:ascii="Syntax" w:hAnsi="Syntax"/>
        </w:rPr>
      </w:pPr>
    </w:p>
    <w:p w:rsidR="003613FF" w:rsidRDefault="003613FF" w:rsidP="003613FF">
      <w:pPr>
        <w:pStyle w:val="ListParagraph"/>
        <w:numPr>
          <w:ilvl w:val="0"/>
          <w:numId w:val="10"/>
        </w:numPr>
        <w:spacing w:after="0" w:line="240" w:lineRule="auto"/>
        <w:rPr>
          <w:rFonts w:ascii="Syntax" w:hAnsi="Syntax"/>
        </w:rPr>
      </w:pPr>
      <w:r>
        <w:rPr>
          <w:rFonts w:ascii="Syntax" w:hAnsi="Syntax"/>
        </w:rPr>
        <w:t>Researchers based in Canada, the Caribbean</w:t>
      </w:r>
      <w:r w:rsidR="0009619E">
        <w:rPr>
          <w:rFonts w:ascii="Syntax" w:hAnsi="Syntax"/>
        </w:rPr>
        <w:t>**</w:t>
      </w:r>
      <w:r>
        <w:rPr>
          <w:rFonts w:ascii="Syntax" w:hAnsi="Syntax"/>
        </w:rPr>
        <w:t xml:space="preserve"> and the USA</w:t>
      </w:r>
    </w:p>
    <w:p w:rsidR="003613FF" w:rsidRDefault="003613FF" w:rsidP="003613FF">
      <w:pPr>
        <w:pStyle w:val="ListParagraph"/>
        <w:spacing w:after="0" w:line="240" w:lineRule="auto"/>
        <w:rPr>
          <w:rFonts w:ascii="Syntax" w:hAnsi="Syntax"/>
        </w:rPr>
      </w:pPr>
      <w:r>
        <w:rPr>
          <w:rFonts w:ascii="Syntax" w:hAnsi="Syntax"/>
        </w:rPr>
        <w:t>£2500 (£1875 up front, £625 on completion of the Fellowship)</w:t>
      </w:r>
      <w:r w:rsidRPr="003613FF">
        <w:rPr>
          <w:rFonts w:ascii="Syntax" w:hAnsi="Syntax"/>
        </w:rPr>
        <w:t xml:space="preserve"> </w:t>
      </w:r>
    </w:p>
    <w:p w:rsidR="00B92AEE" w:rsidRDefault="00B92AEE" w:rsidP="00B92AEE">
      <w:pPr>
        <w:spacing w:after="0" w:line="240" w:lineRule="auto"/>
        <w:rPr>
          <w:rFonts w:ascii="Syntax" w:hAnsi="Syntax"/>
        </w:rPr>
      </w:pPr>
    </w:p>
    <w:p w:rsidR="0035613C" w:rsidRPr="00171A76" w:rsidRDefault="0035613C" w:rsidP="0035613C">
      <w:pPr>
        <w:spacing w:after="0" w:line="240" w:lineRule="auto"/>
        <w:rPr>
          <w:rFonts w:ascii="Syntax" w:hAnsi="Syntax"/>
        </w:rPr>
      </w:pPr>
      <w:r w:rsidRPr="00171A76">
        <w:rPr>
          <w:rFonts w:ascii="Syntax" w:hAnsi="Syntax"/>
        </w:rPr>
        <w:t xml:space="preserve">Reports submitted by award holders </w:t>
      </w:r>
      <w:proofErr w:type="gramStart"/>
      <w:r w:rsidRPr="00171A76">
        <w:rPr>
          <w:rFonts w:ascii="Syntax" w:hAnsi="Syntax"/>
        </w:rPr>
        <w:t>will be retained</w:t>
      </w:r>
      <w:proofErr w:type="gramEnd"/>
      <w:r w:rsidRPr="00171A76">
        <w:rPr>
          <w:rFonts w:ascii="Syntax" w:hAnsi="Syntax"/>
        </w:rPr>
        <w:t xml:space="preserve"> and contact details for award holders will be added to the Centre’s mailing list. Personal data submitted through the application or an awardee’s financial reports </w:t>
      </w:r>
      <w:proofErr w:type="gramStart"/>
      <w:r w:rsidRPr="00171A76">
        <w:rPr>
          <w:rFonts w:ascii="Syntax" w:hAnsi="Syntax"/>
        </w:rPr>
        <w:t>will be treated</w:t>
      </w:r>
      <w:proofErr w:type="gramEnd"/>
      <w:r w:rsidRPr="00171A76">
        <w:rPr>
          <w:rFonts w:ascii="Syntax" w:hAnsi="Syntax"/>
        </w:rPr>
        <w:t xml:space="preserve"> in accordance with the Library’s data compliance rules.</w:t>
      </w:r>
    </w:p>
    <w:p w:rsidR="0035613C" w:rsidRPr="00171A76" w:rsidRDefault="0035613C" w:rsidP="0035613C">
      <w:pPr>
        <w:spacing w:after="0" w:line="240" w:lineRule="auto"/>
        <w:rPr>
          <w:rFonts w:ascii="Syntax" w:hAnsi="Syntax"/>
        </w:rPr>
      </w:pPr>
    </w:p>
    <w:p w:rsidR="0035613C" w:rsidRPr="00171A76" w:rsidRDefault="0035613C" w:rsidP="0035613C">
      <w:pPr>
        <w:spacing w:after="0" w:line="240" w:lineRule="auto"/>
        <w:rPr>
          <w:rFonts w:ascii="Syntax" w:hAnsi="Syntax"/>
        </w:rPr>
      </w:pPr>
      <w:r w:rsidRPr="00171A76">
        <w:rPr>
          <w:rFonts w:ascii="Syntax" w:hAnsi="Syntax"/>
        </w:rPr>
        <w:t xml:space="preserve">All award holders will agree to acknowledge the support provided by the Eccles Centre in any publication or other outputs resulting from this research visit, and to inform the Eccles Centre of any such publications. If the opportunity arises, it </w:t>
      </w:r>
      <w:proofErr w:type="gramStart"/>
      <w:r w:rsidRPr="00171A76">
        <w:rPr>
          <w:rFonts w:ascii="Syntax" w:hAnsi="Syntax"/>
        </w:rPr>
        <w:t>is expected</w:t>
      </w:r>
      <w:proofErr w:type="gramEnd"/>
      <w:r w:rsidRPr="00171A76">
        <w:rPr>
          <w:rFonts w:ascii="Syntax" w:hAnsi="Syntax"/>
        </w:rPr>
        <w:t xml:space="preserve"> that the award holders will discuss their work at an appropriate Eccles Centre/British Library seminar or conference.</w:t>
      </w:r>
    </w:p>
    <w:p w:rsidR="0035613C" w:rsidRPr="00171A76" w:rsidRDefault="0035613C" w:rsidP="0035613C">
      <w:pPr>
        <w:spacing w:after="0" w:line="240" w:lineRule="auto"/>
        <w:rPr>
          <w:rFonts w:ascii="Syntax" w:hAnsi="Syntax"/>
        </w:rPr>
      </w:pPr>
    </w:p>
    <w:p w:rsidR="00B73583" w:rsidRPr="00171A76" w:rsidRDefault="00B73583" w:rsidP="0035613C">
      <w:pPr>
        <w:spacing w:after="0" w:line="240" w:lineRule="auto"/>
        <w:rPr>
          <w:rFonts w:ascii="Syntax" w:hAnsi="Syntax"/>
        </w:rPr>
      </w:pPr>
      <w:r w:rsidRPr="00171A76">
        <w:rPr>
          <w:rFonts w:ascii="Syntax" w:hAnsi="Syntax"/>
        </w:rPr>
        <w:t>The Eccles Centre is committed to promising best practice in matters of equality and diversity.</w:t>
      </w:r>
    </w:p>
    <w:p w:rsidR="00B73583" w:rsidRPr="00171A76" w:rsidRDefault="00B73583" w:rsidP="0035613C">
      <w:pPr>
        <w:spacing w:after="0" w:line="240" w:lineRule="auto"/>
        <w:rPr>
          <w:rFonts w:ascii="Syntax" w:hAnsi="Syntax"/>
        </w:rPr>
      </w:pPr>
    </w:p>
    <w:p w:rsidR="0035613C" w:rsidRPr="00171A76" w:rsidRDefault="0035613C" w:rsidP="0035613C">
      <w:pPr>
        <w:spacing w:after="0" w:line="240" w:lineRule="auto"/>
        <w:rPr>
          <w:rFonts w:ascii="Syntax" w:hAnsi="Syntax"/>
        </w:rPr>
      </w:pPr>
      <w:r w:rsidRPr="00171A76">
        <w:rPr>
          <w:rFonts w:ascii="Syntax" w:hAnsi="Syntax"/>
        </w:rPr>
        <w:t>No extra funding will be available. Candidates must ensure that they have sufficient funds to cover their own needs and the needs of any dependants during their stay. Award holders from outside the UK are individually responsible for fulfilling any regulatory requirements to enter the UK.</w:t>
      </w:r>
    </w:p>
    <w:p w:rsidR="0035613C" w:rsidRPr="00171A76" w:rsidRDefault="0035613C" w:rsidP="0035613C">
      <w:pPr>
        <w:spacing w:after="0" w:line="240" w:lineRule="auto"/>
        <w:rPr>
          <w:rFonts w:ascii="Syntax" w:hAnsi="Syntax"/>
        </w:rPr>
      </w:pPr>
    </w:p>
    <w:p w:rsidR="00BB06D8" w:rsidRDefault="0035613C" w:rsidP="0035613C">
      <w:pPr>
        <w:spacing w:after="0" w:line="240" w:lineRule="auto"/>
        <w:rPr>
          <w:rFonts w:ascii="Syntax" w:hAnsi="Syntax"/>
        </w:rPr>
      </w:pPr>
      <w:r w:rsidRPr="00171A76">
        <w:rPr>
          <w:rFonts w:ascii="Syntax" w:hAnsi="Syntax"/>
        </w:rPr>
        <w:t>The Eccles Centre is unable to arrange travel or organise accommodation for award holders.</w:t>
      </w:r>
      <w:r w:rsidR="002C6DCB" w:rsidRPr="00171A76">
        <w:rPr>
          <w:rFonts w:ascii="Syntax" w:hAnsi="Syntax"/>
        </w:rPr>
        <w:t xml:space="preserve"> It cannot arrange for or guarantee any necessary travel documentation to the UK (such as visas), but it will, where possible and appropriate, </w:t>
      </w:r>
      <w:r w:rsidR="00B73583" w:rsidRPr="00171A76">
        <w:rPr>
          <w:rFonts w:ascii="Syntax" w:hAnsi="Syntax"/>
        </w:rPr>
        <w:t xml:space="preserve">provide written documentation to support award holders’ visa applications. </w:t>
      </w:r>
    </w:p>
    <w:p w:rsidR="00B92AEE" w:rsidRDefault="00B92AEE" w:rsidP="0035613C">
      <w:pPr>
        <w:spacing w:after="0" w:line="240" w:lineRule="auto"/>
        <w:rPr>
          <w:rFonts w:ascii="Syntax" w:hAnsi="Syntax"/>
        </w:rPr>
      </w:pPr>
    </w:p>
    <w:p w:rsidR="00B92AEE" w:rsidRDefault="00B92AEE" w:rsidP="00B92AEE">
      <w:pPr>
        <w:spacing w:after="0" w:line="240" w:lineRule="auto"/>
        <w:rPr>
          <w:rFonts w:ascii="Syntax" w:hAnsi="Syntax"/>
        </w:rPr>
      </w:pPr>
      <w:proofErr w:type="gramStart"/>
      <w:r>
        <w:rPr>
          <w:rFonts w:ascii="Syntax" w:hAnsi="Syntax"/>
        </w:rPr>
        <w:t xml:space="preserve">*Europe here is taken to include </w:t>
      </w:r>
      <w:r w:rsidRPr="00B92AEE">
        <w:rPr>
          <w:rFonts w:ascii="Syntax" w:hAnsi="Syntax"/>
        </w:rPr>
        <w:t>Albania</w:t>
      </w:r>
      <w:r>
        <w:rPr>
          <w:rFonts w:ascii="Syntax" w:hAnsi="Syntax"/>
        </w:rPr>
        <w:t xml:space="preserve">, </w:t>
      </w:r>
      <w:r w:rsidRPr="00B92AEE">
        <w:rPr>
          <w:rFonts w:ascii="Syntax" w:hAnsi="Syntax"/>
        </w:rPr>
        <w:t>Andorra</w:t>
      </w:r>
      <w:r>
        <w:rPr>
          <w:rFonts w:ascii="Syntax" w:hAnsi="Syntax"/>
        </w:rPr>
        <w:t xml:space="preserve">, </w:t>
      </w:r>
      <w:r w:rsidRPr="00B92AEE">
        <w:rPr>
          <w:rFonts w:ascii="Syntax" w:hAnsi="Syntax"/>
        </w:rPr>
        <w:t>Armenia</w:t>
      </w:r>
      <w:r w:rsidR="0009619E">
        <w:rPr>
          <w:rFonts w:ascii="Syntax" w:hAnsi="Syntax"/>
        </w:rPr>
        <w:t xml:space="preserve">, </w:t>
      </w:r>
      <w:r w:rsidRPr="00B92AEE">
        <w:rPr>
          <w:rFonts w:ascii="Syntax" w:hAnsi="Syntax"/>
        </w:rPr>
        <w:t>Austria</w:t>
      </w:r>
      <w:r w:rsidR="0009619E">
        <w:rPr>
          <w:rFonts w:ascii="Syntax" w:hAnsi="Syntax"/>
        </w:rPr>
        <w:t xml:space="preserve">, </w:t>
      </w:r>
      <w:r w:rsidRPr="00B92AEE">
        <w:rPr>
          <w:rFonts w:ascii="Syntax" w:hAnsi="Syntax"/>
        </w:rPr>
        <w:t>Azerbaijan</w:t>
      </w:r>
      <w:r w:rsidR="0009619E">
        <w:rPr>
          <w:rFonts w:ascii="Syntax" w:hAnsi="Syntax"/>
        </w:rPr>
        <w:t xml:space="preserve">, </w:t>
      </w:r>
      <w:r w:rsidRPr="00B92AEE">
        <w:rPr>
          <w:rFonts w:ascii="Syntax" w:hAnsi="Syntax"/>
        </w:rPr>
        <w:t>Belarus</w:t>
      </w:r>
      <w:r w:rsidR="0009619E">
        <w:rPr>
          <w:rFonts w:ascii="Syntax" w:hAnsi="Syntax"/>
        </w:rPr>
        <w:t xml:space="preserve">, </w:t>
      </w:r>
      <w:r w:rsidRPr="00B92AEE">
        <w:rPr>
          <w:rFonts w:ascii="Syntax" w:hAnsi="Syntax"/>
        </w:rPr>
        <w:t>Belgium</w:t>
      </w:r>
      <w:r w:rsidR="0009619E">
        <w:rPr>
          <w:rFonts w:ascii="Syntax" w:hAnsi="Syntax"/>
        </w:rPr>
        <w:t xml:space="preserve">, </w:t>
      </w:r>
      <w:r w:rsidRPr="00B92AEE">
        <w:rPr>
          <w:rFonts w:ascii="Syntax" w:hAnsi="Syntax"/>
        </w:rPr>
        <w:t>Bosnia and Herzegovina</w:t>
      </w:r>
      <w:r w:rsidR="0009619E">
        <w:rPr>
          <w:rFonts w:ascii="Syntax" w:hAnsi="Syntax"/>
        </w:rPr>
        <w:t xml:space="preserve">, </w:t>
      </w:r>
      <w:r w:rsidRPr="00B92AEE">
        <w:rPr>
          <w:rFonts w:ascii="Syntax" w:hAnsi="Syntax"/>
        </w:rPr>
        <w:t>Bulgaria</w:t>
      </w:r>
      <w:r w:rsidR="0009619E">
        <w:rPr>
          <w:rFonts w:ascii="Syntax" w:hAnsi="Syntax"/>
        </w:rPr>
        <w:t xml:space="preserve">, </w:t>
      </w:r>
      <w:r w:rsidRPr="00B92AEE">
        <w:rPr>
          <w:rFonts w:ascii="Syntax" w:hAnsi="Syntax"/>
        </w:rPr>
        <w:t>Croatia</w:t>
      </w:r>
      <w:r w:rsidR="0009619E">
        <w:rPr>
          <w:rFonts w:ascii="Syntax" w:hAnsi="Syntax"/>
        </w:rPr>
        <w:t xml:space="preserve">, </w:t>
      </w:r>
      <w:r w:rsidRPr="00B92AEE">
        <w:rPr>
          <w:rFonts w:ascii="Syntax" w:hAnsi="Syntax"/>
        </w:rPr>
        <w:t>Cyprus</w:t>
      </w:r>
      <w:r w:rsidR="0009619E">
        <w:rPr>
          <w:rFonts w:ascii="Syntax" w:hAnsi="Syntax"/>
        </w:rPr>
        <w:t xml:space="preserve">, Czech Republic, </w:t>
      </w:r>
      <w:r w:rsidRPr="00B92AEE">
        <w:rPr>
          <w:rFonts w:ascii="Syntax" w:hAnsi="Syntax"/>
        </w:rPr>
        <w:t>Denmark</w:t>
      </w:r>
      <w:r w:rsidR="0009619E">
        <w:rPr>
          <w:rFonts w:ascii="Syntax" w:hAnsi="Syntax"/>
        </w:rPr>
        <w:t xml:space="preserve">, </w:t>
      </w:r>
      <w:r w:rsidRPr="00B92AEE">
        <w:rPr>
          <w:rFonts w:ascii="Syntax" w:hAnsi="Syntax"/>
        </w:rPr>
        <w:t>Estonia</w:t>
      </w:r>
      <w:r w:rsidR="0009619E">
        <w:rPr>
          <w:rFonts w:ascii="Syntax" w:hAnsi="Syntax"/>
        </w:rPr>
        <w:t xml:space="preserve">, </w:t>
      </w:r>
      <w:r w:rsidRPr="00B92AEE">
        <w:rPr>
          <w:rFonts w:ascii="Syntax" w:hAnsi="Syntax"/>
        </w:rPr>
        <w:t>Finland</w:t>
      </w:r>
      <w:r w:rsidR="0009619E">
        <w:rPr>
          <w:rFonts w:ascii="Syntax" w:hAnsi="Syntax"/>
        </w:rPr>
        <w:t xml:space="preserve">, </w:t>
      </w:r>
      <w:r w:rsidRPr="00B92AEE">
        <w:rPr>
          <w:rFonts w:ascii="Syntax" w:hAnsi="Syntax"/>
        </w:rPr>
        <w:t>France</w:t>
      </w:r>
      <w:r w:rsidR="0009619E">
        <w:rPr>
          <w:rFonts w:ascii="Syntax" w:hAnsi="Syntax"/>
        </w:rPr>
        <w:t xml:space="preserve">, </w:t>
      </w:r>
      <w:r w:rsidRPr="00B92AEE">
        <w:rPr>
          <w:rFonts w:ascii="Syntax" w:hAnsi="Syntax"/>
        </w:rPr>
        <w:t>Georgia</w:t>
      </w:r>
      <w:r w:rsidR="0009619E">
        <w:rPr>
          <w:rFonts w:ascii="Syntax" w:hAnsi="Syntax"/>
        </w:rPr>
        <w:t xml:space="preserve">, </w:t>
      </w:r>
      <w:r w:rsidRPr="00B92AEE">
        <w:rPr>
          <w:rFonts w:ascii="Syntax" w:hAnsi="Syntax"/>
        </w:rPr>
        <w:t>Germany</w:t>
      </w:r>
      <w:r w:rsidR="0009619E">
        <w:rPr>
          <w:rFonts w:ascii="Syntax" w:hAnsi="Syntax"/>
        </w:rPr>
        <w:t xml:space="preserve">, </w:t>
      </w:r>
      <w:r w:rsidRPr="00B92AEE">
        <w:rPr>
          <w:rFonts w:ascii="Syntax" w:hAnsi="Syntax"/>
        </w:rPr>
        <w:t>Greece</w:t>
      </w:r>
      <w:r w:rsidR="0009619E">
        <w:rPr>
          <w:rFonts w:ascii="Syntax" w:hAnsi="Syntax"/>
        </w:rPr>
        <w:t xml:space="preserve">, </w:t>
      </w:r>
      <w:r w:rsidRPr="00B92AEE">
        <w:rPr>
          <w:rFonts w:ascii="Syntax" w:hAnsi="Syntax"/>
        </w:rPr>
        <w:t>Hungary</w:t>
      </w:r>
      <w:r w:rsidR="0009619E">
        <w:rPr>
          <w:rFonts w:ascii="Syntax" w:hAnsi="Syntax"/>
        </w:rPr>
        <w:t xml:space="preserve">, </w:t>
      </w:r>
      <w:r w:rsidRPr="00B92AEE">
        <w:rPr>
          <w:rFonts w:ascii="Syntax" w:hAnsi="Syntax"/>
        </w:rPr>
        <w:t>Iceland</w:t>
      </w:r>
      <w:r w:rsidR="0009619E">
        <w:rPr>
          <w:rFonts w:ascii="Syntax" w:hAnsi="Syntax"/>
        </w:rPr>
        <w:t xml:space="preserve">, </w:t>
      </w:r>
      <w:r w:rsidRPr="00B92AEE">
        <w:rPr>
          <w:rFonts w:ascii="Syntax" w:hAnsi="Syntax"/>
        </w:rPr>
        <w:t>Ireland</w:t>
      </w:r>
      <w:r w:rsidR="0009619E">
        <w:rPr>
          <w:rFonts w:ascii="Syntax" w:hAnsi="Syntax"/>
        </w:rPr>
        <w:t xml:space="preserve">, </w:t>
      </w:r>
      <w:r w:rsidRPr="00B92AEE">
        <w:rPr>
          <w:rFonts w:ascii="Syntax" w:hAnsi="Syntax"/>
        </w:rPr>
        <w:t>Italy</w:t>
      </w:r>
      <w:r w:rsidR="0009619E">
        <w:rPr>
          <w:rFonts w:ascii="Syntax" w:hAnsi="Syntax"/>
        </w:rPr>
        <w:t xml:space="preserve">, </w:t>
      </w:r>
      <w:r w:rsidRPr="00B92AEE">
        <w:rPr>
          <w:rFonts w:ascii="Syntax" w:hAnsi="Syntax"/>
        </w:rPr>
        <w:t>Kazakhstan</w:t>
      </w:r>
      <w:r w:rsidR="0009619E">
        <w:rPr>
          <w:rFonts w:ascii="Syntax" w:hAnsi="Syntax"/>
        </w:rPr>
        <w:t xml:space="preserve">, </w:t>
      </w:r>
      <w:r w:rsidRPr="00B92AEE">
        <w:rPr>
          <w:rFonts w:ascii="Syntax" w:hAnsi="Syntax"/>
        </w:rPr>
        <w:t>Kosovo</w:t>
      </w:r>
      <w:r w:rsidR="0009619E">
        <w:rPr>
          <w:rFonts w:ascii="Syntax" w:hAnsi="Syntax"/>
        </w:rPr>
        <w:t xml:space="preserve">, </w:t>
      </w:r>
      <w:r w:rsidRPr="00B92AEE">
        <w:rPr>
          <w:rFonts w:ascii="Syntax" w:hAnsi="Syntax"/>
        </w:rPr>
        <w:t>Latvia</w:t>
      </w:r>
      <w:r w:rsidR="0009619E">
        <w:rPr>
          <w:rFonts w:ascii="Syntax" w:hAnsi="Syntax"/>
        </w:rPr>
        <w:t xml:space="preserve">, </w:t>
      </w:r>
      <w:r w:rsidRPr="00B92AEE">
        <w:rPr>
          <w:rFonts w:ascii="Syntax" w:hAnsi="Syntax"/>
        </w:rPr>
        <w:t>Liechtenstein</w:t>
      </w:r>
      <w:r w:rsidR="0009619E">
        <w:rPr>
          <w:rFonts w:ascii="Syntax" w:hAnsi="Syntax"/>
        </w:rPr>
        <w:t xml:space="preserve">, </w:t>
      </w:r>
      <w:r w:rsidRPr="00B92AEE">
        <w:rPr>
          <w:rFonts w:ascii="Syntax" w:hAnsi="Syntax"/>
        </w:rPr>
        <w:t>Lithuania</w:t>
      </w:r>
      <w:r w:rsidR="0009619E">
        <w:rPr>
          <w:rFonts w:ascii="Syntax" w:hAnsi="Syntax"/>
        </w:rPr>
        <w:t xml:space="preserve">, </w:t>
      </w:r>
      <w:r w:rsidRPr="00B92AEE">
        <w:rPr>
          <w:rFonts w:ascii="Syntax" w:hAnsi="Syntax"/>
        </w:rPr>
        <w:t>Luxembourg</w:t>
      </w:r>
      <w:r w:rsidR="0009619E">
        <w:rPr>
          <w:rFonts w:ascii="Syntax" w:hAnsi="Syntax"/>
        </w:rPr>
        <w:t xml:space="preserve">, </w:t>
      </w:r>
      <w:r w:rsidRPr="00B92AEE">
        <w:rPr>
          <w:rFonts w:ascii="Syntax" w:hAnsi="Syntax"/>
        </w:rPr>
        <w:t>Malta</w:t>
      </w:r>
      <w:r w:rsidR="0009619E">
        <w:rPr>
          <w:rFonts w:ascii="Syntax" w:hAnsi="Syntax"/>
        </w:rPr>
        <w:t xml:space="preserve">, </w:t>
      </w:r>
      <w:r w:rsidRPr="00B92AEE">
        <w:rPr>
          <w:rFonts w:ascii="Syntax" w:hAnsi="Syntax"/>
        </w:rPr>
        <w:t>Moldova</w:t>
      </w:r>
      <w:r w:rsidR="0009619E">
        <w:rPr>
          <w:rFonts w:ascii="Syntax" w:hAnsi="Syntax"/>
        </w:rPr>
        <w:t xml:space="preserve">, </w:t>
      </w:r>
      <w:r w:rsidRPr="00B92AEE">
        <w:rPr>
          <w:rFonts w:ascii="Syntax" w:hAnsi="Syntax"/>
        </w:rPr>
        <w:t>Monaco</w:t>
      </w:r>
      <w:r w:rsidR="0009619E">
        <w:rPr>
          <w:rFonts w:ascii="Syntax" w:hAnsi="Syntax"/>
        </w:rPr>
        <w:t xml:space="preserve">, </w:t>
      </w:r>
      <w:r w:rsidRPr="00B92AEE">
        <w:rPr>
          <w:rFonts w:ascii="Syntax" w:hAnsi="Syntax"/>
        </w:rPr>
        <w:t>Montenegro</w:t>
      </w:r>
      <w:r w:rsidR="0009619E">
        <w:rPr>
          <w:rFonts w:ascii="Syntax" w:hAnsi="Syntax"/>
        </w:rPr>
        <w:t xml:space="preserve">, </w:t>
      </w:r>
      <w:r w:rsidRPr="00B92AEE">
        <w:rPr>
          <w:rFonts w:ascii="Syntax" w:hAnsi="Syntax"/>
        </w:rPr>
        <w:t>Netherlands</w:t>
      </w:r>
      <w:r w:rsidR="0009619E">
        <w:rPr>
          <w:rFonts w:ascii="Syntax" w:hAnsi="Syntax"/>
        </w:rPr>
        <w:t xml:space="preserve">, </w:t>
      </w:r>
      <w:r w:rsidRPr="00B92AEE">
        <w:rPr>
          <w:rFonts w:ascii="Syntax" w:hAnsi="Syntax"/>
        </w:rPr>
        <w:t>North Macedonia (formerly Macedonia)</w:t>
      </w:r>
      <w:r w:rsidR="0009619E">
        <w:rPr>
          <w:rFonts w:ascii="Syntax" w:hAnsi="Syntax"/>
        </w:rPr>
        <w:t xml:space="preserve">, </w:t>
      </w:r>
      <w:r w:rsidRPr="00B92AEE">
        <w:rPr>
          <w:rFonts w:ascii="Syntax" w:hAnsi="Syntax"/>
        </w:rPr>
        <w:lastRenderedPageBreak/>
        <w:t>Norway</w:t>
      </w:r>
      <w:r w:rsidR="0009619E">
        <w:rPr>
          <w:rFonts w:ascii="Syntax" w:hAnsi="Syntax"/>
        </w:rPr>
        <w:t xml:space="preserve">, </w:t>
      </w:r>
      <w:r w:rsidRPr="00B92AEE">
        <w:rPr>
          <w:rFonts w:ascii="Syntax" w:hAnsi="Syntax"/>
        </w:rPr>
        <w:t>Poland</w:t>
      </w:r>
      <w:r w:rsidR="0009619E">
        <w:rPr>
          <w:rFonts w:ascii="Syntax" w:hAnsi="Syntax"/>
        </w:rPr>
        <w:t xml:space="preserve">, </w:t>
      </w:r>
      <w:r w:rsidRPr="00B92AEE">
        <w:rPr>
          <w:rFonts w:ascii="Syntax" w:hAnsi="Syntax"/>
        </w:rPr>
        <w:t>Portugal</w:t>
      </w:r>
      <w:r w:rsidR="0009619E">
        <w:rPr>
          <w:rFonts w:ascii="Syntax" w:hAnsi="Syntax"/>
        </w:rPr>
        <w:t xml:space="preserve">, </w:t>
      </w:r>
      <w:r w:rsidRPr="00B92AEE">
        <w:rPr>
          <w:rFonts w:ascii="Syntax" w:hAnsi="Syntax"/>
        </w:rPr>
        <w:t>Romania</w:t>
      </w:r>
      <w:r w:rsidR="0009619E">
        <w:rPr>
          <w:rFonts w:ascii="Syntax" w:hAnsi="Syntax"/>
        </w:rPr>
        <w:t xml:space="preserve">, </w:t>
      </w:r>
      <w:r w:rsidRPr="00B92AEE">
        <w:rPr>
          <w:rFonts w:ascii="Syntax" w:hAnsi="Syntax"/>
        </w:rPr>
        <w:t>Russia</w:t>
      </w:r>
      <w:r w:rsidR="0009619E">
        <w:rPr>
          <w:rFonts w:ascii="Syntax" w:hAnsi="Syntax"/>
        </w:rPr>
        <w:t xml:space="preserve">, </w:t>
      </w:r>
      <w:r w:rsidRPr="00B92AEE">
        <w:rPr>
          <w:rFonts w:ascii="Syntax" w:hAnsi="Syntax"/>
        </w:rPr>
        <w:t>San Marino</w:t>
      </w:r>
      <w:r w:rsidR="0009619E">
        <w:rPr>
          <w:rFonts w:ascii="Syntax" w:hAnsi="Syntax"/>
        </w:rPr>
        <w:t>, S</w:t>
      </w:r>
      <w:r w:rsidRPr="00B92AEE">
        <w:rPr>
          <w:rFonts w:ascii="Syntax" w:hAnsi="Syntax"/>
        </w:rPr>
        <w:t>erbia</w:t>
      </w:r>
      <w:r w:rsidR="0009619E">
        <w:rPr>
          <w:rFonts w:ascii="Syntax" w:hAnsi="Syntax"/>
        </w:rPr>
        <w:t xml:space="preserve">, </w:t>
      </w:r>
      <w:r w:rsidRPr="00B92AEE">
        <w:rPr>
          <w:rFonts w:ascii="Syntax" w:hAnsi="Syntax"/>
        </w:rPr>
        <w:t>Slovakia</w:t>
      </w:r>
      <w:r w:rsidR="0009619E">
        <w:rPr>
          <w:rFonts w:ascii="Syntax" w:hAnsi="Syntax"/>
        </w:rPr>
        <w:t xml:space="preserve">, </w:t>
      </w:r>
      <w:r w:rsidRPr="00B92AEE">
        <w:rPr>
          <w:rFonts w:ascii="Syntax" w:hAnsi="Syntax"/>
        </w:rPr>
        <w:t>Slovenia</w:t>
      </w:r>
      <w:r w:rsidR="0009619E">
        <w:rPr>
          <w:rFonts w:ascii="Syntax" w:hAnsi="Syntax"/>
        </w:rPr>
        <w:t xml:space="preserve">, </w:t>
      </w:r>
      <w:r w:rsidRPr="00B92AEE">
        <w:rPr>
          <w:rFonts w:ascii="Syntax" w:hAnsi="Syntax"/>
        </w:rPr>
        <w:t>Spain</w:t>
      </w:r>
      <w:r w:rsidR="0009619E">
        <w:rPr>
          <w:rFonts w:ascii="Syntax" w:hAnsi="Syntax"/>
        </w:rPr>
        <w:t xml:space="preserve">, </w:t>
      </w:r>
      <w:r w:rsidRPr="00B92AEE">
        <w:rPr>
          <w:rFonts w:ascii="Syntax" w:hAnsi="Syntax"/>
        </w:rPr>
        <w:t>Sweden</w:t>
      </w:r>
      <w:r w:rsidR="0009619E">
        <w:rPr>
          <w:rFonts w:ascii="Syntax" w:hAnsi="Syntax"/>
        </w:rPr>
        <w:t xml:space="preserve">, </w:t>
      </w:r>
      <w:r w:rsidRPr="00B92AEE">
        <w:rPr>
          <w:rFonts w:ascii="Syntax" w:hAnsi="Syntax"/>
        </w:rPr>
        <w:t>Switzerland</w:t>
      </w:r>
      <w:r w:rsidR="0009619E">
        <w:rPr>
          <w:rFonts w:ascii="Syntax" w:hAnsi="Syntax"/>
        </w:rPr>
        <w:t xml:space="preserve">, </w:t>
      </w:r>
      <w:r w:rsidRPr="00B92AEE">
        <w:rPr>
          <w:rFonts w:ascii="Syntax" w:hAnsi="Syntax"/>
        </w:rPr>
        <w:t>Turkey</w:t>
      </w:r>
      <w:r w:rsidR="0009619E">
        <w:rPr>
          <w:rFonts w:ascii="Syntax" w:hAnsi="Syntax"/>
        </w:rPr>
        <w:t xml:space="preserve">, </w:t>
      </w:r>
      <w:r w:rsidRPr="00B92AEE">
        <w:rPr>
          <w:rFonts w:ascii="Syntax" w:hAnsi="Syntax"/>
        </w:rPr>
        <w:t>Ukraine</w:t>
      </w:r>
      <w:r w:rsidR="0009619E">
        <w:rPr>
          <w:rFonts w:ascii="Syntax" w:hAnsi="Syntax"/>
        </w:rPr>
        <w:t xml:space="preserve">, </w:t>
      </w:r>
      <w:r w:rsidRPr="00B92AEE">
        <w:rPr>
          <w:rFonts w:ascii="Syntax" w:hAnsi="Syntax"/>
        </w:rPr>
        <w:t>Vatican City (Holy See)</w:t>
      </w:r>
      <w:proofErr w:type="gramEnd"/>
    </w:p>
    <w:p w:rsidR="0009619E" w:rsidRDefault="0009619E" w:rsidP="00B92AEE">
      <w:pPr>
        <w:spacing w:after="0" w:line="240" w:lineRule="auto"/>
        <w:rPr>
          <w:rFonts w:ascii="Syntax" w:hAnsi="Syntax"/>
        </w:rPr>
      </w:pPr>
    </w:p>
    <w:p w:rsidR="0009619E" w:rsidRPr="00171A76" w:rsidRDefault="0009619E" w:rsidP="0009619E">
      <w:pPr>
        <w:spacing w:after="0" w:line="240" w:lineRule="auto"/>
        <w:rPr>
          <w:rFonts w:ascii="Syntax" w:hAnsi="Syntax"/>
        </w:rPr>
      </w:pPr>
      <w:proofErr w:type="gramStart"/>
      <w:r>
        <w:rPr>
          <w:rFonts w:ascii="Syntax" w:hAnsi="Syntax"/>
        </w:rPr>
        <w:t>**The Caribbean here is taken to include</w:t>
      </w:r>
      <w:r w:rsidRPr="0009619E">
        <w:rPr>
          <w:rFonts w:ascii="Syntax" w:hAnsi="Syntax"/>
        </w:rPr>
        <w:t> Anguilla</w:t>
      </w:r>
      <w:r w:rsidR="00B9284F">
        <w:rPr>
          <w:rFonts w:ascii="Syntax" w:hAnsi="Syntax"/>
        </w:rPr>
        <w:t xml:space="preserve">, </w:t>
      </w:r>
      <w:r w:rsidRPr="0009619E">
        <w:rPr>
          <w:rFonts w:ascii="Syntax" w:hAnsi="Syntax"/>
        </w:rPr>
        <w:t>Antigua and Barbuda</w:t>
      </w:r>
      <w:r w:rsidR="00B9284F">
        <w:rPr>
          <w:rFonts w:ascii="Syntax" w:hAnsi="Syntax"/>
        </w:rPr>
        <w:t xml:space="preserve">, </w:t>
      </w:r>
      <w:r w:rsidRPr="0009619E">
        <w:rPr>
          <w:rFonts w:ascii="Syntax" w:hAnsi="Syntax"/>
        </w:rPr>
        <w:t>Aruba</w:t>
      </w:r>
      <w:r w:rsidR="00B9284F">
        <w:rPr>
          <w:rFonts w:ascii="Syntax" w:hAnsi="Syntax"/>
        </w:rPr>
        <w:t>,</w:t>
      </w:r>
      <w:r w:rsidRPr="0009619E">
        <w:rPr>
          <w:rFonts w:ascii="Syntax" w:hAnsi="Syntax"/>
        </w:rPr>
        <w:t> Bahamas</w:t>
      </w:r>
      <w:r w:rsidR="00B9284F">
        <w:rPr>
          <w:rFonts w:ascii="Syntax" w:hAnsi="Syntax"/>
        </w:rPr>
        <w:t>,</w:t>
      </w:r>
      <w:r w:rsidRPr="0009619E">
        <w:rPr>
          <w:rFonts w:ascii="Syntax" w:hAnsi="Syntax"/>
        </w:rPr>
        <w:t> Barbados</w:t>
      </w:r>
      <w:r w:rsidR="00B9284F">
        <w:rPr>
          <w:rFonts w:ascii="Syntax" w:hAnsi="Syntax"/>
        </w:rPr>
        <w:t>,</w:t>
      </w:r>
      <w:r w:rsidRPr="0009619E">
        <w:rPr>
          <w:rFonts w:ascii="Syntax" w:hAnsi="Syntax"/>
        </w:rPr>
        <w:t> Belize</w:t>
      </w:r>
      <w:r w:rsidR="00B9284F">
        <w:rPr>
          <w:rFonts w:ascii="Syntax" w:hAnsi="Syntax"/>
        </w:rPr>
        <w:t xml:space="preserve">, </w:t>
      </w:r>
      <w:r w:rsidRPr="0009619E">
        <w:rPr>
          <w:rFonts w:ascii="Syntax" w:hAnsi="Syntax"/>
        </w:rPr>
        <w:t>Bermuda</w:t>
      </w:r>
      <w:r w:rsidR="00B9284F">
        <w:rPr>
          <w:rFonts w:ascii="Syntax" w:hAnsi="Syntax"/>
        </w:rPr>
        <w:t xml:space="preserve">, </w:t>
      </w:r>
      <w:r w:rsidRPr="0009619E">
        <w:rPr>
          <w:rFonts w:ascii="Syntax" w:hAnsi="Syntax"/>
        </w:rPr>
        <w:t>British Virgin Islands</w:t>
      </w:r>
      <w:r w:rsidR="00B9284F">
        <w:rPr>
          <w:rFonts w:ascii="Syntax" w:hAnsi="Syntax"/>
        </w:rPr>
        <w:t xml:space="preserve">, </w:t>
      </w:r>
      <w:r w:rsidRPr="0009619E">
        <w:rPr>
          <w:rFonts w:ascii="Syntax" w:hAnsi="Syntax"/>
        </w:rPr>
        <w:t>Cayman Islands</w:t>
      </w:r>
      <w:r w:rsidR="00B9284F">
        <w:rPr>
          <w:rFonts w:ascii="Syntax" w:hAnsi="Syntax"/>
        </w:rPr>
        <w:t xml:space="preserve">, </w:t>
      </w:r>
      <w:r w:rsidRPr="0009619E">
        <w:rPr>
          <w:rFonts w:ascii="Syntax" w:hAnsi="Syntax"/>
        </w:rPr>
        <w:t>Colombia</w:t>
      </w:r>
      <w:r w:rsidR="00B9284F">
        <w:rPr>
          <w:rFonts w:ascii="Syntax" w:hAnsi="Syntax"/>
        </w:rPr>
        <w:t xml:space="preserve">, Costa Rica, Cuba, </w:t>
      </w:r>
      <w:proofErr w:type="spellStart"/>
      <w:r w:rsidRPr="0009619E">
        <w:rPr>
          <w:rFonts w:ascii="Syntax" w:hAnsi="Syntax"/>
        </w:rPr>
        <w:t>Curaçao</w:t>
      </w:r>
      <w:proofErr w:type="spellEnd"/>
      <w:r w:rsidR="00B9284F">
        <w:rPr>
          <w:rFonts w:ascii="Syntax" w:hAnsi="Syntax"/>
        </w:rPr>
        <w:t xml:space="preserve">, </w:t>
      </w:r>
      <w:r w:rsidRPr="0009619E">
        <w:rPr>
          <w:rFonts w:ascii="Syntax" w:hAnsi="Syntax"/>
        </w:rPr>
        <w:t>Dominica</w:t>
      </w:r>
      <w:r w:rsidR="00B9284F">
        <w:rPr>
          <w:rFonts w:ascii="Syntax" w:hAnsi="Syntax"/>
        </w:rPr>
        <w:t xml:space="preserve">, </w:t>
      </w:r>
      <w:r w:rsidRPr="0009619E">
        <w:rPr>
          <w:rFonts w:ascii="Syntax" w:hAnsi="Syntax"/>
        </w:rPr>
        <w:t>Dominican Republic</w:t>
      </w:r>
      <w:bookmarkStart w:id="0" w:name="_GoBack"/>
      <w:bookmarkEnd w:id="0"/>
      <w:r w:rsidR="00B9284F">
        <w:rPr>
          <w:rFonts w:ascii="Syntax" w:hAnsi="Syntax"/>
        </w:rPr>
        <w:t xml:space="preserve">, French Guiana, </w:t>
      </w:r>
      <w:r w:rsidRPr="0009619E">
        <w:rPr>
          <w:rFonts w:ascii="Syntax" w:hAnsi="Syntax"/>
        </w:rPr>
        <w:t>Grenada</w:t>
      </w:r>
      <w:r w:rsidR="00B9284F">
        <w:rPr>
          <w:rFonts w:ascii="Syntax" w:hAnsi="Syntax"/>
        </w:rPr>
        <w:t>, Guadeloupe (</w:t>
      </w:r>
      <w:r w:rsidR="00B9284F" w:rsidRPr="00B9284F">
        <w:rPr>
          <w:rFonts w:ascii="Syntax" w:hAnsi="Syntax"/>
        </w:rPr>
        <w:t>including the islands of Basse-Terre, Grande-Terre, Les Saintes,</w:t>
      </w:r>
      <w:r w:rsidR="00B9284F">
        <w:rPr>
          <w:rFonts w:ascii="Syntax" w:hAnsi="Syntax"/>
        </w:rPr>
        <w:t xml:space="preserve"> Marie-</w:t>
      </w:r>
      <w:proofErr w:type="spellStart"/>
      <w:r w:rsidR="00B9284F">
        <w:rPr>
          <w:rFonts w:ascii="Syntax" w:hAnsi="Syntax"/>
        </w:rPr>
        <w:t>Galante</w:t>
      </w:r>
      <w:proofErr w:type="spellEnd"/>
      <w:r w:rsidR="00B9284F">
        <w:rPr>
          <w:rFonts w:ascii="Syntax" w:hAnsi="Syntax"/>
        </w:rPr>
        <w:t xml:space="preserve">, and La </w:t>
      </w:r>
      <w:proofErr w:type="spellStart"/>
      <w:r w:rsidR="00B9284F">
        <w:rPr>
          <w:rFonts w:ascii="Syntax" w:hAnsi="Syntax"/>
        </w:rPr>
        <w:t>Désirade</w:t>
      </w:r>
      <w:proofErr w:type="spellEnd"/>
      <w:r w:rsidR="00B9284F">
        <w:rPr>
          <w:rFonts w:ascii="Syntax" w:hAnsi="Syntax"/>
        </w:rPr>
        <w:t xml:space="preserve">), </w:t>
      </w:r>
      <w:r w:rsidRPr="0009619E">
        <w:rPr>
          <w:rFonts w:ascii="Syntax" w:hAnsi="Syntax"/>
        </w:rPr>
        <w:t>Guyana</w:t>
      </w:r>
      <w:r w:rsidR="00B9284F">
        <w:rPr>
          <w:rFonts w:ascii="Syntax" w:hAnsi="Syntax"/>
        </w:rPr>
        <w:t xml:space="preserve">, </w:t>
      </w:r>
      <w:r w:rsidRPr="0009619E">
        <w:rPr>
          <w:rFonts w:ascii="Syntax" w:hAnsi="Syntax"/>
        </w:rPr>
        <w:t>Haiti</w:t>
      </w:r>
      <w:r w:rsidR="00B9284F">
        <w:rPr>
          <w:rFonts w:ascii="Syntax" w:hAnsi="Syntax"/>
        </w:rPr>
        <w:t xml:space="preserve">, Honduras, </w:t>
      </w:r>
      <w:r w:rsidRPr="0009619E">
        <w:rPr>
          <w:rFonts w:ascii="Syntax" w:hAnsi="Syntax"/>
        </w:rPr>
        <w:t>Jamaica</w:t>
      </w:r>
      <w:r w:rsidR="00B9284F">
        <w:rPr>
          <w:rFonts w:ascii="Syntax" w:hAnsi="Syntax"/>
        </w:rPr>
        <w:t xml:space="preserve">, Martinique, </w:t>
      </w:r>
      <w:r w:rsidRPr="0009619E">
        <w:rPr>
          <w:rFonts w:ascii="Syntax" w:hAnsi="Syntax"/>
        </w:rPr>
        <w:t>Mexico</w:t>
      </w:r>
      <w:r w:rsidR="00B9284F">
        <w:rPr>
          <w:rFonts w:ascii="Syntax" w:hAnsi="Syntax"/>
        </w:rPr>
        <w:t xml:space="preserve">, </w:t>
      </w:r>
      <w:r w:rsidRPr="0009619E">
        <w:rPr>
          <w:rFonts w:ascii="Syntax" w:hAnsi="Syntax"/>
        </w:rPr>
        <w:t>Montserrat</w:t>
      </w:r>
      <w:r w:rsidR="00B9284F">
        <w:rPr>
          <w:rFonts w:ascii="Syntax" w:hAnsi="Syntax"/>
        </w:rPr>
        <w:t xml:space="preserve">, Panama, </w:t>
      </w:r>
      <w:r w:rsidRPr="0009619E">
        <w:rPr>
          <w:rFonts w:ascii="Syntax" w:hAnsi="Syntax"/>
        </w:rPr>
        <w:t>Puerto Rico</w:t>
      </w:r>
      <w:r w:rsidR="00B9284F">
        <w:rPr>
          <w:rFonts w:ascii="Syntax" w:hAnsi="Syntax"/>
        </w:rPr>
        <w:t xml:space="preserve">, </w:t>
      </w:r>
      <w:r w:rsidR="00007531" w:rsidRPr="00B9284F">
        <w:rPr>
          <w:rFonts w:ascii="Syntax" w:hAnsi="Syntax"/>
        </w:rPr>
        <w:t xml:space="preserve">Saint </w:t>
      </w:r>
      <w:proofErr w:type="spellStart"/>
      <w:r w:rsidR="00007531" w:rsidRPr="00B9284F">
        <w:rPr>
          <w:rFonts w:ascii="Syntax" w:hAnsi="Syntax"/>
        </w:rPr>
        <w:t>Barthélemy</w:t>
      </w:r>
      <w:proofErr w:type="spellEnd"/>
      <w:r w:rsidR="00007531">
        <w:rPr>
          <w:rFonts w:ascii="Syntax" w:hAnsi="Syntax"/>
        </w:rPr>
        <w:t>,</w:t>
      </w:r>
      <w:r w:rsidR="00007531" w:rsidRPr="0009619E">
        <w:rPr>
          <w:rFonts w:ascii="Syntax" w:hAnsi="Syntax"/>
        </w:rPr>
        <w:t xml:space="preserve"> </w:t>
      </w:r>
      <w:r w:rsidRPr="0009619E">
        <w:rPr>
          <w:rFonts w:ascii="Syntax" w:hAnsi="Syntax"/>
        </w:rPr>
        <w:t>Saint Kitts and Nevis</w:t>
      </w:r>
      <w:r w:rsidR="00B9284F">
        <w:rPr>
          <w:rFonts w:ascii="Syntax" w:hAnsi="Syntax"/>
        </w:rPr>
        <w:t xml:space="preserve">, </w:t>
      </w:r>
      <w:r w:rsidRPr="0009619E">
        <w:rPr>
          <w:rFonts w:ascii="Syntax" w:hAnsi="Syntax"/>
        </w:rPr>
        <w:t>Saint Lucia</w:t>
      </w:r>
      <w:r w:rsidR="00B9284F">
        <w:rPr>
          <w:rFonts w:ascii="Syntax" w:hAnsi="Syntax"/>
        </w:rPr>
        <w:t>,</w:t>
      </w:r>
      <w:r w:rsidR="00007531">
        <w:rPr>
          <w:rFonts w:ascii="Syntax" w:hAnsi="Syntax"/>
        </w:rPr>
        <w:t xml:space="preserve"> </w:t>
      </w:r>
      <w:r w:rsidR="00007531" w:rsidRPr="00B9284F">
        <w:rPr>
          <w:rFonts w:ascii="Syntax" w:hAnsi="Syntax"/>
        </w:rPr>
        <w:t>Saint Martin</w:t>
      </w:r>
      <w:r w:rsidR="00007531">
        <w:rPr>
          <w:rFonts w:ascii="Syntax" w:hAnsi="Syntax"/>
        </w:rPr>
        <w:t>,</w:t>
      </w:r>
      <w:r w:rsidR="00B9284F">
        <w:rPr>
          <w:rFonts w:ascii="Syntax" w:hAnsi="Syntax"/>
        </w:rPr>
        <w:t xml:space="preserve"> </w:t>
      </w:r>
      <w:r w:rsidRPr="0009619E">
        <w:rPr>
          <w:rFonts w:ascii="Syntax" w:hAnsi="Syntax"/>
        </w:rPr>
        <w:t>Saint Vincent and the Grenadines</w:t>
      </w:r>
      <w:r w:rsidR="00B9284F">
        <w:rPr>
          <w:rFonts w:ascii="Syntax" w:hAnsi="Syntax"/>
        </w:rPr>
        <w:t xml:space="preserve">, </w:t>
      </w:r>
      <w:proofErr w:type="spellStart"/>
      <w:r w:rsidRPr="0009619E">
        <w:rPr>
          <w:rFonts w:ascii="Syntax" w:hAnsi="Syntax"/>
        </w:rPr>
        <w:t>Sint</w:t>
      </w:r>
      <w:proofErr w:type="spellEnd"/>
      <w:r w:rsidRPr="0009619E">
        <w:rPr>
          <w:rFonts w:ascii="Syntax" w:hAnsi="Syntax"/>
        </w:rPr>
        <w:t xml:space="preserve"> Maarten</w:t>
      </w:r>
      <w:r w:rsidR="00B9284F">
        <w:rPr>
          <w:rFonts w:ascii="Syntax" w:hAnsi="Syntax"/>
        </w:rPr>
        <w:t xml:space="preserve">, </w:t>
      </w:r>
      <w:r w:rsidRPr="0009619E">
        <w:rPr>
          <w:rFonts w:ascii="Syntax" w:hAnsi="Syntax"/>
        </w:rPr>
        <w:t>Suriname</w:t>
      </w:r>
      <w:r w:rsidR="00B9284F">
        <w:rPr>
          <w:rFonts w:ascii="Syntax" w:hAnsi="Syntax"/>
        </w:rPr>
        <w:t xml:space="preserve">, </w:t>
      </w:r>
      <w:r w:rsidRPr="0009619E">
        <w:rPr>
          <w:rFonts w:ascii="Syntax" w:hAnsi="Syntax"/>
        </w:rPr>
        <w:t>Trinidad and Tobago</w:t>
      </w:r>
      <w:r w:rsidR="00B9284F">
        <w:rPr>
          <w:rFonts w:ascii="Syntax" w:hAnsi="Syntax"/>
        </w:rPr>
        <w:t xml:space="preserve">, </w:t>
      </w:r>
      <w:r w:rsidRPr="0009619E">
        <w:rPr>
          <w:rFonts w:ascii="Syntax" w:hAnsi="Syntax"/>
        </w:rPr>
        <w:t>Turks and Caicos Islands</w:t>
      </w:r>
      <w:r w:rsidR="00B9284F">
        <w:rPr>
          <w:rFonts w:ascii="Syntax" w:hAnsi="Syntax"/>
        </w:rPr>
        <w:t xml:space="preserve">, </w:t>
      </w:r>
      <w:r w:rsidRPr="0009619E">
        <w:rPr>
          <w:rFonts w:ascii="Syntax" w:hAnsi="Syntax"/>
        </w:rPr>
        <w:t>Venezuela</w:t>
      </w:r>
      <w:proofErr w:type="gramEnd"/>
    </w:p>
    <w:sectPr w:rsidR="0009619E" w:rsidRPr="00171A76" w:rsidSect="005125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ntax">
    <w:panose1 w:val="02000503020000020004"/>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BBD"/>
    <w:multiLevelType w:val="hybridMultilevel"/>
    <w:tmpl w:val="0AA4A662"/>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92CAD"/>
    <w:multiLevelType w:val="hybridMultilevel"/>
    <w:tmpl w:val="1C30B33C"/>
    <w:lvl w:ilvl="0" w:tplc="7BF6EAD8">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C172C60"/>
    <w:multiLevelType w:val="hybridMultilevel"/>
    <w:tmpl w:val="AA0E6FAA"/>
    <w:lvl w:ilvl="0" w:tplc="22F4597E">
      <w:numFmt w:val="bullet"/>
      <w:lvlText w:val="-"/>
      <w:lvlJc w:val="left"/>
      <w:pPr>
        <w:ind w:left="720" w:hanging="360"/>
      </w:pPr>
      <w:rPr>
        <w:rFonts w:ascii="Syntax" w:eastAsiaTheme="minorHAnsi" w:hAnsi="Syntax"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A39E8"/>
    <w:multiLevelType w:val="hybridMultilevel"/>
    <w:tmpl w:val="7D3C049E"/>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F01F3"/>
    <w:multiLevelType w:val="hybridMultilevel"/>
    <w:tmpl w:val="79A08F64"/>
    <w:lvl w:ilvl="0" w:tplc="2D183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E503B"/>
    <w:multiLevelType w:val="hybridMultilevel"/>
    <w:tmpl w:val="3E581C80"/>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8651A"/>
    <w:multiLevelType w:val="hybridMultilevel"/>
    <w:tmpl w:val="C4F2182E"/>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33591"/>
    <w:multiLevelType w:val="hybridMultilevel"/>
    <w:tmpl w:val="51B27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FD0EED"/>
    <w:multiLevelType w:val="hybridMultilevel"/>
    <w:tmpl w:val="7E8C5AE6"/>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D243F"/>
    <w:multiLevelType w:val="hybridMultilevel"/>
    <w:tmpl w:val="8F2C0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3"/>
  </w:num>
  <w:num w:numId="6">
    <w:abstractNumId w:val="7"/>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D8"/>
    <w:rsid w:val="00007531"/>
    <w:rsid w:val="0004199C"/>
    <w:rsid w:val="0009619E"/>
    <w:rsid w:val="00171A76"/>
    <w:rsid w:val="0018204B"/>
    <w:rsid w:val="002154E8"/>
    <w:rsid w:val="0023097F"/>
    <w:rsid w:val="002C6DCB"/>
    <w:rsid w:val="0035613C"/>
    <w:rsid w:val="003613FF"/>
    <w:rsid w:val="00381A1B"/>
    <w:rsid w:val="003C14A4"/>
    <w:rsid w:val="004044F6"/>
    <w:rsid w:val="00511406"/>
    <w:rsid w:val="00512520"/>
    <w:rsid w:val="00546348"/>
    <w:rsid w:val="005C2E11"/>
    <w:rsid w:val="00664877"/>
    <w:rsid w:val="0070075C"/>
    <w:rsid w:val="007428C5"/>
    <w:rsid w:val="007C24C9"/>
    <w:rsid w:val="008A62EC"/>
    <w:rsid w:val="008A6B1B"/>
    <w:rsid w:val="008F4445"/>
    <w:rsid w:val="00987B12"/>
    <w:rsid w:val="00A56A42"/>
    <w:rsid w:val="00A83FA3"/>
    <w:rsid w:val="00A84D86"/>
    <w:rsid w:val="00AD3CDF"/>
    <w:rsid w:val="00B075E3"/>
    <w:rsid w:val="00B5604F"/>
    <w:rsid w:val="00B6348F"/>
    <w:rsid w:val="00B71E8C"/>
    <w:rsid w:val="00B73583"/>
    <w:rsid w:val="00B9284F"/>
    <w:rsid w:val="00B92AEE"/>
    <w:rsid w:val="00BB06D8"/>
    <w:rsid w:val="00BF0131"/>
    <w:rsid w:val="00C86647"/>
    <w:rsid w:val="00C920FA"/>
    <w:rsid w:val="00CA36CA"/>
    <w:rsid w:val="00CC3724"/>
    <w:rsid w:val="00D3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20122B5"/>
  <w15:chartTrackingRefBased/>
  <w15:docId w15:val="{4B31E4BC-E7BC-41B5-BB47-7E348417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18204B"/>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04F"/>
    <w:pPr>
      <w:ind w:left="720"/>
      <w:contextualSpacing/>
    </w:pPr>
  </w:style>
  <w:style w:type="paragraph" w:styleId="BalloonText">
    <w:name w:val="Balloon Text"/>
    <w:basedOn w:val="Normal"/>
    <w:link w:val="BalloonTextChar"/>
    <w:uiPriority w:val="99"/>
    <w:semiHidden/>
    <w:unhideWhenUsed/>
    <w:rsid w:val="00BF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131"/>
    <w:rPr>
      <w:rFonts w:ascii="Segoe UI" w:hAnsi="Segoe UI" w:cs="Segoe UI"/>
      <w:sz w:val="18"/>
      <w:szCs w:val="18"/>
    </w:rPr>
  </w:style>
  <w:style w:type="character" w:customStyle="1" w:styleId="Heading4Char">
    <w:name w:val="Heading 4 Char"/>
    <w:basedOn w:val="DefaultParagraphFont"/>
    <w:link w:val="Heading4"/>
    <w:uiPriority w:val="9"/>
    <w:rsid w:val="0018204B"/>
    <w:rPr>
      <w:rFonts w:eastAsia="Times New Roman" w:cs="Times New Roman"/>
      <w:sz w:val="19"/>
      <w:szCs w:val="24"/>
      <w:lang w:val="en-US"/>
    </w:rPr>
  </w:style>
  <w:style w:type="paragraph" w:customStyle="1" w:styleId="Checkbox">
    <w:name w:val="Checkbox"/>
    <w:basedOn w:val="Normal"/>
    <w:next w:val="Normal"/>
    <w:qFormat/>
    <w:rsid w:val="0018204B"/>
    <w:pPr>
      <w:spacing w:after="0" w:line="240" w:lineRule="auto"/>
      <w:jc w:val="center"/>
    </w:pPr>
    <w:rPr>
      <w:rFonts w:eastAsia="Times New Roman" w:cs="Times New Roman"/>
      <w:sz w:val="17"/>
      <w:szCs w:val="19"/>
      <w:lang w:val="en-US"/>
    </w:rPr>
  </w:style>
  <w:style w:type="table" w:styleId="PlainTable3">
    <w:name w:val="Plain Table 3"/>
    <w:basedOn w:val="TableNormal"/>
    <w:uiPriority w:val="43"/>
    <w:rsid w:val="0018204B"/>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A84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3779">
      <w:bodyDiv w:val="1"/>
      <w:marLeft w:val="0"/>
      <w:marRight w:val="0"/>
      <w:marTop w:val="0"/>
      <w:marBottom w:val="0"/>
      <w:divBdr>
        <w:top w:val="none" w:sz="0" w:space="0" w:color="auto"/>
        <w:left w:val="none" w:sz="0" w:space="0" w:color="auto"/>
        <w:bottom w:val="none" w:sz="0" w:space="0" w:color="auto"/>
        <w:right w:val="none" w:sz="0" w:space="0" w:color="auto"/>
      </w:divBdr>
    </w:div>
    <w:div w:id="357437585">
      <w:bodyDiv w:val="1"/>
      <w:marLeft w:val="0"/>
      <w:marRight w:val="0"/>
      <w:marTop w:val="0"/>
      <w:marBottom w:val="0"/>
      <w:divBdr>
        <w:top w:val="none" w:sz="0" w:space="0" w:color="auto"/>
        <w:left w:val="none" w:sz="0" w:space="0" w:color="auto"/>
        <w:bottom w:val="none" w:sz="0" w:space="0" w:color="auto"/>
        <w:right w:val="none" w:sz="0" w:space="0" w:color="auto"/>
      </w:divBdr>
      <w:divsChild>
        <w:div w:id="198782145">
          <w:marLeft w:val="0"/>
          <w:marRight w:val="0"/>
          <w:marTop w:val="0"/>
          <w:marBottom w:val="0"/>
          <w:divBdr>
            <w:top w:val="none" w:sz="0" w:space="0" w:color="auto"/>
            <w:left w:val="none" w:sz="0" w:space="0" w:color="auto"/>
            <w:bottom w:val="none" w:sz="0" w:space="0" w:color="auto"/>
            <w:right w:val="none" w:sz="0" w:space="0" w:color="auto"/>
          </w:divBdr>
        </w:div>
        <w:div w:id="2143572541">
          <w:marLeft w:val="0"/>
          <w:marRight w:val="0"/>
          <w:marTop w:val="0"/>
          <w:marBottom w:val="0"/>
          <w:divBdr>
            <w:top w:val="none" w:sz="0" w:space="0" w:color="auto"/>
            <w:left w:val="none" w:sz="0" w:space="0" w:color="auto"/>
            <w:bottom w:val="none" w:sz="0" w:space="0" w:color="auto"/>
            <w:right w:val="none" w:sz="0" w:space="0" w:color="auto"/>
          </w:divBdr>
        </w:div>
        <w:div w:id="537396087">
          <w:marLeft w:val="0"/>
          <w:marRight w:val="0"/>
          <w:marTop w:val="0"/>
          <w:marBottom w:val="0"/>
          <w:divBdr>
            <w:top w:val="none" w:sz="0" w:space="0" w:color="auto"/>
            <w:left w:val="none" w:sz="0" w:space="0" w:color="auto"/>
            <w:bottom w:val="none" w:sz="0" w:space="0" w:color="auto"/>
            <w:right w:val="none" w:sz="0" w:space="0" w:color="auto"/>
          </w:divBdr>
        </w:div>
        <w:div w:id="45301663">
          <w:marLeft w:val="0"/>
          <w:marRight w:val="0"/>
          <w:marTop w:val="0"/>
          <w:marBottom w:val="0"/>
          <w:divBdr>
            <w:top w:val="none" w:sz="0" w:space="0" w:color="auto"/>
            <w:left w:val="none" w:sz="0" w:space="0" w:color="auto"/>
            <w:bottom w:val="none" w:sz="0" w:space="0" w:color="auto"/>
            <w:right w:val="none" w:sz="0" w:space="0" w:color="auto"/>
          </w:divBdr>
        </w:div>
        <w:div w:id="1627467166">
          <w:marLeft w:val="0"/>
          <w:marRight w:val="0"/>
          <w:marTop w:val="0"/>
          <w:marBottom w:val="0"/>
          <w:divBdr>
            <w:top w:val="none" w:sz="0" w:space="0" w:color="auto"/>
            <w:left w:val="none" w:sz="0" w:space="0" w:color="auto"/>
            <w:bottom w:val="none" w:sz="0" w:space="0" w:color="auto"/>
            <w:right w:val="none" w:sz="0" w:space="0" w:color="auto"/>
          </w:divBdr>
        </w:div>
        <w:div w:id="679084833">
          <w:marLeft w:val="0"/>
          <w:marRight w:val="0"/>
          <w:marTop w:val="0"/>
          <w:marBottom w:val="0"/>
          <w:divBdr>
            <w:top w:val="none" w:sz="0" w:space="0" w:color="auto"/>
            <w:left w:val="none" w:sz="0" w:space="0" w:color="auto"/>
            <w:bottom w:val="none" w:sz="0" w:space="0" w:color="auto"/>
            <w:right w:val="none" w:sz="0" w:space="0" w:color="auto"/>
          </w:divBdr>
        </w:div>
        <w:div w:id="188565209">
          <w:marLeft w:val="0"/>
          <w:marRight w:val="0"/>
          <w:marTop w:val="0"/>
          <w:marBottom w:val="0"/>
          <w:divBdr>
            <w:top w:val="none" w:sz="0" w:space="0" w:color="auto"/>
            <w:left w:val="none" w:sz="0" w:space="0" w:color="auto"/>
            <w:bottom w:val="none" w:sz="0" w:space="0" w:color="auto"/>
            <w:right w:val="none" w:sz="0" w:space="0" w:color="auto"/>
          </w:divBdr>
        </w:div>
      </w:divsChild>
    </w:div>
    <w:div w:id="412629643">
      <w:bodyDiv w:val="1"/>
      <w:marLeft w:val="0"/>
      <w:marRight w:val="0"/>
      <w:marTop w:val="0"/>
      <w:marBottom w:val="0"/>
      <w:divBdr>
        <w:top w:val="none" w:sz="0" w:space="0" w:color="auto"/>
        <w:left w:val="none" w:sz="0" w:space="0" w:color="auto"/>
        <w:bottom w:val="none" w:sz="0" w:space="0" w:color="auto"/>
        <w:right w:val="none" w:sz="0" w:space="0" w:color="auto"/>
      </w:divBdr>
    </w:div>
    <w:div w:id="819004340">
      <w:bodyDiv w:val="1"/>
      <w:marLeft w:val="0"/>
      <w:marRight w:val="0"/>
      <w:marTop w:val="0"/>
      <w:marBottom w:val="0"/>
      <w:divBdr>
        <w:top w:val="none" w:sz="0" w:space="0" w:color="auto"/>
        <w:left w:val="none" w:sz="0" w:space="0" w:color="auto"/>
        <w:bottom w:val="none" w:sz="0" w:space="0" w:color="auto"/>
        <w:right w:val="none" w:sz="0" w:space="0" w:color="auto"/>
      </w:divBdr>
    </w:div>
    <w:div w:id="1313827448">
      <w:bodyDiv w:val="1"/>
      <w:marLeft w:val="0"/>
      <w:marRight w:val="0"/>
      <w:marTop w:val="0"/>
      <w:marBottom w:val="0"/>
      <w:divBdr>
        <w:top w:val="none" w:sz="0" w:space="0" w:color="auto"/>
        <w:left w:val="none" w:sz="0" w:space="0" w:color="auto"/>
        <w:bottom w:val="none" w:sz="0" w:space="0" w:color="auto"/>
        <w:right w:val="none" w:sz="0" w:space="0" w:color="auto"/>
      </w:divBdr>
    </w:div>
    <w:div w:id="14245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bl.uk/america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British Library</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Philip</dc:creator>
  <cp:keywords/>
  <dc:description/>
  <cp:lastModifiedBy>Abraham, Philip</cp:lastModifiedBy>
  <cp:revision>10</cp:revision>
  <cp:lastPrinted>2019-09-27T09:58:00Z</cp:lastPrinted>
  <dcterms:created xsi:type="dcterms:W3CDTF">2019-09-23T17:23:00Z</dcterms:created>
  <dcterms:modified xsi:type="dcterms:W3CDTF">2020-10-06T10:38:00Z</dcterms:modified>
</cp:coreProperties>
</file>